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Call To Order: </w:t>
      </w: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Director Song called the meeting to order at 12:30 pm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100"/>
        <w:gridCol w:w="2040"/>
        <w:gridCol w:w="2340"/>
        <w:tblGridChange w:id="0">
          <w:tblGrid>
            <w:gridCol w:w="2880"/>
            <w:gridCol w:w="2100"/>
            <w:gridCol w:w="20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Milgard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Evan Campbell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Milgard Senator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Cesia Amaya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Education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Santino Wong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Absent Excused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Healthcare Leadership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Kalea Velasco-Cosare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IAS Senator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Norah Duncan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IAS Senator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Kate Allred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Absent Excused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IAS Senator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Jason Tran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SET Senator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Jon Angell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SET Senator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Buruk Yimesgen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Urban Studies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Ryan Wicklund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Pre-Major Senator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Enmanuel Mujica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Pre-Major Senator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Eamon Challinor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Work and Criminal Justice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Isaiah Garcia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Graduate Senator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Raghvi Baloni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br w:type="textWrapping"/>
        <w:t xml:space="preserve">Approval of the Agenda:</w:t>
      </w:r>
      <w:r w:rsidDel="00000000" w:rsidR="00000000" w:rsidRPr="00000000">
        <w:rPr>
          <w:rFonts w:ascii="Calibri" w:cs="Calibri" w:eastAsia="Calibri" w:hAnsi="Calibri"/>
          <w:rtl w:val="0"/>
        </w:rPr>
        <w:t xml:space="preserve"> </w:t>
        <w:br w:type="textWrapping"/>
        <w:t xml:space="preserve">Motioned by Director Song and seconded by Yimesgen 11-0-0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Approval of the Minutes:</w:t>
      </w:r>
      <w:r w:rsidDel="00000000" w:rsidR="00000000" w:rsidRPr="00000000">
        <w:rPr>
          <w:rFonts w:ascii="Calibri" w:cs="Calibri" w:eastAsia="Calibri" w:hAnsi="Calibri"/>
          <w:rtl w:val="0"/>
        </w:rPr>
        <w:t xml:space="preserve"> </w:t>
        <w:br w:type="textWrapping"/>
        <w:t xml:space="preserve">Motioned by Director Song and seconded by Senator Yimesgen 11-0-0 </w:t>
        <w:br w:type="textWrapping"/>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Open Public Forum:</w:t>
      </w:r>
      <w:r w:rsidDel="00000000" w:rsidR="00000000" w:rsidRPr="00000000">
        <w:rPr>
          <w:rFonts w:ascii="Calibri" w:cs="Calibri" w:eastAsia="Calibri" w:hAnsi="Calibri"/>
          <w:rtl w:val="0"/>
        </w:rPr>
        <w:t xml:space="preserve"> </w:t>
        <w:br w:type="textWrapping"/>
        <w:t xml:space="preserve">No members of the public were present.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Unfinished Business:</w:t>
        <w:br w:type="textWrapping"/>
      </w:r>
      <w:r w:rsidDel="00000000" w:rsidR="00000000" w:rsidRPr="00000000">
        <w:rPr>
          <w:rFonts w:ascii="Calibri" w:cs="Calibri" w:eastAsia="Calibri" w:hAnsi="Calibri"/>
          <w:rtl w:val="0"/>
        </w:rPr>
        <w:t xml:space="preserve">None</w:t>
        <w:br w:type="textWrapping"/>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New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Director Song discussed the Bylaw Change Review. </w:t>
        <w:br w:type="textWrapping"/>
        <w:br w:type="textWrapping"/>
        <w:t xml:space="preserve">Director Song disused the Director of Outreach hiring and that Norah was recommended by the Executive Board. Sent an email to all the directors to cast their vote. The vote amongst the Senators is 7-1-2 which leads me to the conclusion that Norah Duncan is officially the Director of Outreach.</w:t>
        <w:br w:type="textWrapping"/>
        <w:br w:type="textWrapping"/>
        <w:t xml:space="preserve">Director Heyne explained how the vote for constitution was done and each article has to be voted on separately.</w:t>
        <w:br w:type="textWrapping"/>
        <w:br w:type="textWrapping"/>
        <w:t xml:space="preserve">Article IV Section 1</w:t>
        <w:br w:type="textWrapping"/>
        <w:t xml:space="preserve">Moved by Senator Yimesgen and seconded by Senator Challinor 11-0-1</w:t>
        <w:br w:type="textWrapping"/>
        <w:br w:type="textWrapping"/>
        <w:t xml:space="preserve">Article IV Section 3</w:t>
        <w:br w:type="textWrapping"/>
        <w:t xml:space="preserve">Motioned by Senator Wicklund and seconded by Senator Garcia 11-0-1</w:t>
        <w:br w:type="textWrapping"/>
        <w:br w:type="textWrapping"/>
        <w:t xml:space="preserve">Article IV Section 5</w:t>
        <w:br w:type="textWrapping"/>
        <w:t xml:space="preserve">Motioned by Senator Yimesgen and seconded by Senator Challinor 11-0-1</w:t>
        <w:br w:type="textWrapping"/>
        <w:br w:type="textWrapping"/>
        <w:t xml:space="preserve">Article IV Section 6 </w:t>
        <w:br w:type="textWrapping"/>
        <w:t xml:space="preserve">Motioned by Senator Garcia and seconded by Senator Wicklund 11-0-1</w:t>
        <w:br w:type="textWrapping"/>
        <w:br w:type="textWrapping"/>
        <w:t xml:space="preserve">Article IV Section 8 </w:t>
        <w:br w:type="textWrapping"/>
        <w:t xml:space="preserve">Motioned by Senator Wicklund and seconded by Senator Challinor 11-0-1</w:t>
        <w:br w:type="textWrapping"/>
        <w:br w:type="textWrapping"/>
        <w:t xml:space="preserve">Article IV Section 9 </w:t>
        <w:br w:type="textWrapping"/>
        <w:t xml:space="preserve">Motioned by Senator Yimesgen and seconded by Senator Garcia 10-0-2</w:t>
        <w:br w:type="textWrapping"/>
        <w:br w:type="textWrapping"/>
        <w:t xml:space="preserve">Article V Section 2 </w:t>
        <w:br w:type="textWrapping"/>
        <w:t xml:space="preserve">Motioned by Senator Wicklund and seconded by Senator Yimesgen 11-0-1</w:t>
        <w:br w:type="textWrapping"/>
        <w:br w:type="textWrapping"/>
        <w:t xml:space="preserve">Article V Section 3 </w:t>
        <w:br w:type="textWrapping"/>
        <w:t xml:space="preserve">Motioned by Senator Wicklund and seconded by Senator Yimesgen 12-0-0</w:t>
        <w:br w:type="textWrapping"/>
        <w:br w:type="textWrapping"/>
        <w:t xml:space="preserve">Article V Section 4</w:t>
        <w:br w:type="textWrapping"/>
        <w:t xml:space="preserve">Motioned by Senator Wicklund and seconded by Senator Yimesgen 12-0-0</w:t>
        <w:br w:type="textWrapping"/>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Article VI Section 2 </w:t>
        <w:br w:type="textWrapping"/>
        <w:t xml:space="preserve">Motioned by Senator Yimesgen and seconded by Senator Challinor 10-0-2</w:t>
        <w:br w:type="textWrapping"/>
        <w:br w:type="textWrapping"/>
        <w:t xml:space="preserve">Article VI Section 3 </w:t>
        <w:br w:type="textWrapping"/>
        <w:t xml:space="preserve">Motioned by Senator Yimesgen and seconded by Senator Garcia 11-0-1</w:t>
        <w:br w:type="textWrapping"/>
        <w:br w:type="textWrapping"/>
        <w:t xml:space="preserve">Article VI Section 4 </w:t>
        <w:br w:type="textWrapping"/>
        <w:t xml:space="preserve">Motioned by Senator Wicklund and seconded by Senator Challinor 12-0-0</w:t>
        <w:br w:type="textWrapping"/>
        <w:br w:type="textWrapping"/>
        <w:t xml:space="preserve">Article VI Section 5 </w:t>
        <w:br w:type="textWrapping"/>
        <w:t xml:space="preserve">Motioned by Senator Yimesgen and seconded by Senator Wicklund 11-0-1</w:t>
        <w:br w:type="textWrapping"/>
        <w:br w:type="textWrapping"/>
        <w:t xml:space="preserve">Article VI Section 6 </w:t>
        <w:br w:type="textWrapping"/>
        <w:t xml:space="preserve">Motioned by Senator Wicklund and seconded by Senator Yimesgen 11-0-1</w:t>
        <w:br w:type="textWrapping"/>
        <w:br w:type="textWrapping"/>
        <w:t xml:space="preserve">Article VI Section 7 </w:t>
        <w:br w:type="textWrapping"/>
        <w:t xml:space="preserve">Motioned by Senator Garcia and seconded by Senator Challinor 11-0-1</w:t>
        <w:br w:type="textWrapping"/>
        <w:br w:type="textWrapping"/>
        <w:t xml:space="preserve">Article VI Section 8</w:t>
        <w:br w:type="textWrapping"/>
        <w:t xml:space="preserve">Motioned by Senator Wicklund and seconded by Senator Challinor 12-0-0</w:t>
        <w:br w:type="textWrapping"/>
        <w:br w:type="textWrapping"/>
        <w:t xml:space="preserve">Article VI Section 9 </w:t>
        <w:br w:type="textWrapping"/>
        <w:t xml:space="preserve">Motioned by Senator Wicklund and seconded by Senator Garcia 12-0-0</w:t>
        <w:br w:type="textWrapping"/>
        <w:br w:type="textWrapping"/>
        <w:t xml:space="preserve">Article VII Section 1 </w:t>
        <w:br w:type="textWrapping"/>
        <w:t xml:space="preserve">Motioned by Senator Yimesgen and seconded by Senator Challinor 11-0-1</w:t>
        <w:br w:type="textWrapping"/>
        <w:br w:type="textWrapping"/>
        <w:t xml:space="preserve">Article VII Section 2 </w:t>
        <w:br w:type="textWrapping"/>
        <w:t xml:space="preserve">Motioned by Senator Garcia and seconded by Senator Wicklund 11-0-1</w:t>
        <w:br w:type="textWrapping"/>
        <w:br w:type="textWrapping"/>
        <w:t xml:space="preserve">Article VII Section 3</w:t>
        <w:br w:type="textWrapping"/>
        <w:t xml:space="preserve">Motioned by Senator Wicklund and seconded by Senator Challinor 11-0-1</w:t>
        <w:br w:type="textWrapping"/>
        <w:br w:type="textWrapping"/>
        <w:t xml:space="preserve">Article VII Section 4</w:t>
        <w:br w:type="textWrapping"/>
        <w:t xml:space="preserve">Motioned by Senator Wicklund and seconded by Senator Garcia 11-0-1</w:t>
        <w:br w:type="textWrapping"/>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Article XI Section 1 </w:t>
        <w:br w:type="textWrapping"/>
        <w:t xml:space="preserve">Motioned by Senator Yimesgen and seconded by Senator Garcia 11-0-1</w:t>
        <w:br w:type="textWrapping"/>
        <w:br w:type="textWrapping"/>
        <w:t xml:space="preserve">Article XI Section 2 </w:t>
        <w:br w:type="textWrapping"/>
        <w:t xml:space="preserve">Motioned by Senator Yimesgen and seconded by Senator Challinor 11-0-1</w:t>
        <w:br w:type="textWrapping"/>
        <w:br w:type="textWrapping"/>
        <w:t xml:space="preserve">Article XI Section 3 </w:t>
        <w:br w:type="textWrapping"/>
        <w:t xml:space="preserve">Motioned by Senator Wicklund and seconded by Senator Garcia 11-0-1</w:t>
        <w:br w:type="textWrapping"/>
        <w:br w:type="textWrapping"/>
        <w:t xml:space="preserve">Article X Section 1 </w:t>
        <w:br w:type="textWrapping"/>
        <w:t xml:space="preserve">Motioned by Senator Yimesgen and seconded by Senator Challinor 11-0-1</w:t>
        <w:br w:type="textWrapping"/>
        <w:br w:type="textWrapping"/>
        <w:t xml:space="preserve">Article X Section 2 </w:t>
        <w:br w:type="textWrapping"/>
        <w:t xml:space="preserve">Motioned by Senator Wicklund and seconded by Senator Garcia 11-0-1</w:t>
        <w:br w:type="textWrapping"/>
        <w:br w:type="textWrapping"/>
        <w:t xml:space="preserve">Article X Section 3 </w:t>
        <w:br w:type="textWrapping"/>
        <w:t xml:space="preserve">Motioned by Senator Garcia and seconded by Senator Yimesgen 11-0-1</w:t>
        <w:br w:type="textWrapping"/>
        <w:br w:type="textWrapping"/>
        <w:t xml:space="preserve">Article X Section 4</w:t>
        <w:br w:type="textWrapping"/>
        <w:t xml:space="preserve">Motioned by Senator Wicklund and seconded by Senator Challinor 11-0-1</w:t>
        <w:br w:type="textWrapping"/>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Article IX Section 3 </w:t>
        <w:br w:type="textWrapping"/>
        <w:t xml:space="preserve">Motioned by Senator Yimesgen and seconded by Senator Wicklund 11-0-1</w:t>
        <w:br w:type="textWrapping"/>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Article XII </w:t>
        <w:br w:type="textWrapping"/>
        <w:t xml:space="preserve">Motioned by Senator Wicklund and seconded by Senator Garcia 12-0-0</w:t>
        <w:br w:type="textWrapping"/>
        <w:br w:type="textWrapping"/>
        <w:t xml:space="preserve">Article XV</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Motioned by Senator Wicklund and seconded by Senator Challinor 12-0-0</w:t>
        <w:br w:type="textWrapping"/>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Senate Updates:</w:t>
      </w:r>
      <w:r w:rsidDel="00000000" w:rsidR="00000000" w:rsidRPr="00000000">
        <w:rPr>
          <w:rFonts w:ascii="Calibri" w:cs="Calibri" w:eastAsia="Calibri" w:hAnsi="Calibri"/>
          <w:rtl w:val="0"/>
        </w:rPr>
        <w:t xml:space="preserve"> </w:t>
        <w:br w:type="textWrapping"/>
        <w:br w:type="textWrapping"/>
        <w:t xml:space="preserve">Senator Yimesgen spoke for Food Equity. He talked about pantry head and got a lot of information out of that. He is figuring out the next step for the pantry and will be meeting tomorrow. Senator Garcia discussed distigmitization and are in the process of developing a social media account specifically geared toward destigmitization and are currently brainstorming for that.</w:t>
        <w:br w:type="textWrapping"/>
        <w:br w:type="textWrapping"/>
        <w:t xml:space="preserve">Senator Wicklund spoke for Outreach. Preparing wellness week. Talked with Ken Tuckfield, the Indigenous Student Successment Mentor, and trying to reach out to snoqualmie tribe that has certified therapy horses for the wellness week.</w:t>
        <w:br w:type="textWrapping"/>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Senator Velasco-Cosare has met with their dean</w:t>
        <w:br w:type="textWrapping"/>
        <w:br w:type="textWrapping"/>
        <w:t xml:space="preserve">Senator Garcia will meet with their dean on friday.</w:t>
        <w:br w:type="textWrapping"/>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Advisor Updates: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br w:type="textWrapping"/>
        <w:t xml:space="preserve">Advisor Conor talked about the elections email was sent on monday and the filing forms are open. Candidate packets are available. If someone wants to run file a form by April 12th at 5pm. If someone is interested in a position send them to Conor and he can give a detailed explanation on the position and what the expectations  are. The Student Civic Engagement Specialist is currently being temporarily filled by Erin and will be searched for in spring quarter. This position will assist student government on the legislative side as well as oversee elections.  </w:t>
        <w:br w:type="textWrapping"/>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Chair Updates: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Director Song let us know that the next meeting is the last for the quarter so the senate may need to discuss and do voting for the candidate who applied for pre major senator. The interview documents will be sent after she meets with them this upcoming wednesday just so everyone can come to the next meeting more prepared with questions. Voting the next section of the bylaws. </w:t>
        <w:br w:type="textWrapping"/>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Adjournment: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Calibri" w:cs="Calibri" w:eastAsia="Calibri" w:hAnsi="Calibri"/>
          <w:rtl w:val="0"/>
        </w:rPr>
        <w:t xml:space="preserve">Director Song adjourned the meeting at 1:21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